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N.º 028/2019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jc w:val="both"/>
        <w:rPr>
          <w:rFonts w:ascii="Calibri" w:cs="Calibri" w:eastAsia="Calibri" w:hAnsi="Calibri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Adendo ao Regimento Escolar e os Planos de Estudos da Escola Municipal de Ensino Fundamental Professor Osmar Stuart.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 (CME) recebeu da Secretaria Municipal de Educação (SMED), para análise e aprovação, o Adendo ao Regimento Escolar e os Planos de Estudos,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Municipal de Ensino Fundamental Professor Osmar Stuart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360" w:lineRule="auto"/>
        <w:ind w:left="4536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Resolução CME n.º 025/2019, que institui as Diretrizes Curriculares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Municipais para a Educação Infantil (pré-escola), altera as do Ensino Fundamental, orienta adequações à Base Nacional Comum Curricular para a Rede Pública Municipal de Ensino e dá outras providências; na Resolução CNE/CP n.º 002/2017, que institui e orienta a implantação da BNCC ao longo das etapas da Educação Básica; na Resolução CME n.º 015/2012, que trata das Diretrizes Municipais para o Ensino Fundamental de Nove Anos; na Resolução CME n.º 019/2013, que regulamenta a Educação Especial na perspectiva da Escola Inclusiva, na Educação Infantil, Ensino Fundamental e Modalidade Educação de Jovens e Adultos do Município de Cachoeirinha; na Resolução CME n.º 23/2018, que Altera o artigo 38 da Resolução CME n.º 015/2012, prorrogando prazo de vigência dos Regimentos Escolares das Escolas de Ensino Fundamental da Rede Municipal de Ensino; na Resolução CME n.º 024/2019, que estabelece normas para análise e aprovação das Propostas Político-Pedagógicas e Regimentos Escolares das instituições que compõem o Sistema Municipal de Ensino de Cachoeirinha.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Adendo ao Regimento Escolar disciplina as alterações feitas ao documento original, aprovado pelo Parecer CME n.º 026/2015.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Planos de Estudos de transição disciplinam as adequações à Base Nacional Comum Curricular (BNCC) para o período letivo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0" w:line="360" w:lineRule="auto"/>
        <w:ind w:left="0" w:right="0" w:firstLine="709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O Adendo ao Regimento Escolar e os Planos de Estudos de transição, atendem aos critérios estabelecidos de clareza e coerência, estando de acordo com o disposto na legislação e normas vigentes. Os Planos de Estudos, porém, serão válidos somente com a seguinte emenda: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Língua Portuguesa”, leia-se “Área do conhecimento: Linguagens/Componente curricular: Língua Portuguesa”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1º, 2º, 3º, 4º e 5º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Arte”, leia-se “Área do conhecimento: Linguagens/Componente Curricular: Arte”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1º, 2º, 3º, 4º e 5º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Educação Física”, leia-se “Área do conhecimento: Linguagens/Componente Curricular: Educação Física”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1º, 2º, 3º, 4º e 5º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Matemática”, leia-se “Área do conhecimento: Matemática/Componente curricular: Matemática”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1º, 2º, 3º, 4º e 5º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highlight w:val="white"/>
          <w:u w:val="none"/>
          <w:vertAlign w:val="baseline"/>
          <w:rtl w:val="0"/>
        </w:rPr>
        <w:t xml:space="preserve">Onde está escrito “Área do conhecimento: Ciências”, leia-se “Área do conhecimento: Ciências da Natureza/Componente curricular: Ciências”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highlight w:val="white"/>
          <w:u w:val="none"/>
          <w:vertAlign w:val="baseline"/>
          <w:rtl w:val="0"/>
        </w:rPr>
        <w:t xml:space="preserve"> - válido para o 1º, 2º, 3º, 4º e 5º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Ciências da Natureza - História”, leia-se “Área do conhecimento: Ciências Humanas/ Componente curricular: História”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4º Ano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Ciências da Natureza - Geografia”, leia-se “Área do conhecimento: Ciências Humanas/Componente curricular: Geografia”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4º Ano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Onde está escrito “Área do conhecimento: Ensino Religioso”, leia-se “Área do conhecimento: Ensino Religioso/Componente curricular: Ensino Religioso”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válido para o 1º, 2º, 3º, 4º e 5º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Adendo ao Regimento Escolar e dos Planos de Estudos, uma fica arquivada no Conselho Municipal de Educação, uma na Secretaria Municipal de Educação e uma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APROVA os documentos, ressalvadas as possíveis incorreções de linguagem.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17 de outubro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09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Comissão: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Dauraci Furtado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Jucinelia Cordova da Rosa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Luciana Rhoden Freitas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Marisete Bergamaschi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Nara Maria da Silva Piasentin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907" w:top="907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1675" cy="8667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093" l="-495" r="-495" t="-1094"/>
                  <a:stretch>
                    <a:fillRect/>
                  </a:stretch>
                </pic:blipFill>
                <pic:spPr>
                  <a:xfrm>
                    <a:off x="0" y="0"/>
                    <a:ext cx="1971675" cy="8667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